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68C92BC" w:rsidR="000B4ACC" w:rsidRPr="002366E9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別添1</w:t>
      </w:r>
    </w:p>
    <w:p w14:paraId="4AABC3E5" w14:textId="6316E3FF" w:rsidR="0047106A" w:rsidRPr="002366E9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2366E9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2366E9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　　年　　月　　日</w:t>
      </w:r>
    </w:p>
    <w:p w14:paraId="4EF211E9" w14:textId="5B4F2646" w:rsidR="0047106A" w:rsidRPr="002366E9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3F16F0BE" w:rsidR="0047106A" w:rsidRPr="002366E9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F237E3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松坂　敏博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2366E9" w:rsidRPr="002366E9" w14:paraId="63AF32B1" w14:textId="77777777" w:rsidTr="00AF4D8A">
        <w:tc>
          <w:tcPr>
            <w:tcW w:w="2336" w:type="dxa"/>
          </w:tcPr>
          <w:p w14:paraId="742833F9" w14:textId="162A2CDA" w:rsidR="0047106A" w:rsidRPr="002366E9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2366E9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2366E9" w:rsidRPr="002366E9" w14:paraId="41CB2D40" w14:textId="77777777" w:rsidTr="00AF4D8A">
        <w:tc>
          <w:tcPr>
            <w:tcW w:w="2336" w:type="dxa"/>
          </w:tcPr>
          <w:p w14:paraId="53388A10" w14:textId="4FCFF1CA" w:rsidR="0047106A" w:rsidRPr="002366E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2366E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2366E9" w:rsidRPr="002366E9" w14:paraId="2E38056D" w14:textId="77777777" w:rsidTr="00AF4D8A">
        <w:tc>
          <w:tcPr>
            <w:tcW w:w="2336" w:type="dxa"/>
          </w:tcPr>
          <w:p w14:paraId="2A93BE1A" w14:textId="42A6552D" w:rsidR="0047106A" w:rsidRPr="002366E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2366E9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2366E9" w:rsidRPr="002366E9" w14:paraId="45085B74" w14:textId="77777777" w:rsidTr="00AF4D8A">
        <w:tc>
          <w:tcPr>
            <w:tcW w:w="2336" w:type="dxa"/>
          </w:tcPr>
          <w:p w14:paraId="3635059C" w14:textId="7947B4B5" w:rsidR="0047106A" w:rsidRPr="002366E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2366E9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2366E9" w:rsidRPr="002366E9" w14:paraId="7386F07A" w14:textId="77777777" w:rsidTr="00AF4D8A">
        <w:tc>
          <w:tcPr>
            <w:tcW w:w="2336" w:type="dxa"/>
          </w:tcPr>
          <w:p w14:paraId="6CA949EE" w14:textId="449882AE" w:rsidR="0047106A" w:rsidRPr="002366E9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2366E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2366E9" w:rsidRPr="002366E9" w14:paraId="052ECA6E" w14:textId="77777777" w:rsidTr="00AF4D8A">
        <w:tc>
          <w:tcPr>
            <w:tcW w:w="2336" w:type="dxa"/>
          </w:tcPr>
          <w:p w14:paraId="1AC467AB" w14:textId="5219BB29" w:rsidR="0047106A" w:rsidRPr="002366E9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2366E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Pr="002366E9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Pr="002366E9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Pr="002366E9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2366E9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</w:t>
      </w:r>
    </w:p>
    <w:p w14:paraId="58039A63" w14:textId="77777777" w:rsidR="000302F2" w:rsidRPr="002366E9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　　年　　月　　日</w:t>
      </w:r>
    </w:p>
    <w:p w14:paraId="6EAAA3CF" w14:textId="77777777" w:rsidR="000B4ACC" w:rsidRPr="002366E9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235B33C9" w14:textId="56BDD380" w:rsidR="000B4ACC" w:rsidRPr="002366E9" w:rsidRDefault="00F237E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2366E9" w:rsidRPr="002366E9" w14:paraId="3358F54B" w14:textId="77777777" w:rsidTr="00AF4D8A">
        <w:tc>
          <w:tcPr>
            <w:tcW w:w="2268" w:type="dxa"/>
          </w:tcPr>
          <w:p w14:paraId="489992E1" w14:textId="68811FE6" w:rsidR="000302F2" w:rsidRPr="002366E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2366E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2366E9" w:rsidRPr="002366E9" w14:paraId="4483480B" w14:textId="77777777" w:rsidTr="00AF4D8A">
        <w:tc>
          <w:tcPr>
            <w:tcW w:w="2268" w:type="dxa"/>
          </w:tcPr>
          <w:p w14:paraId="76C70BDE" w14:textId="46888E71" w:rsidR="000302F2" w:rsidRPr="002366E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2366E9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2366E9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2366E9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Pr="002366E9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2366E9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2347AE62" w14:textId="77777777" w:rsidR="000302F2" w:rsidRPr="002366E9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　　年　　月　　日</w:t>
      </w:r>
    </w:p>
    <w:p w14:paraId="7E467351" w14:textId="77777777" w:rsidR="000B4ACC" w:rsidRPr="002366E9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6FC2DA71" w14:textId="65707ABF" w:rsidR="000B4ACC" w:rsidRPr="002366E9" w:rsidRDefault="00F237E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2366E9" w:rsidRPr="002366E9" w14:paraId="78591F4D" w14:textId="77777777" w:rsidTr="00AF4D8A">
        <w:tc>
          <w:tcPr>
            <w:tcW w:w="2268" w:type="dxa"/>
          </w:tcPr>
          <w:p w14:paraId="388B532A" w14:textId="2AA22C15" w:rsidR="00A251A8" w:rsidRPr="002366E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2366E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2366E9" w:rsidRPr="002366E9" w14:paraId="3BCCDC5B" w14:textId="77777777" w:rsidTr="00AF4D8A">
        <w:tc>
          <w:tcPr>
            <w:tcW w:w="2268" w:type="dxa"/>
          </w:tcPr>
          <w:p w14:paraId="0E12C623" w14:textId="3FC77C3F" w:rsidR="00A251A8" w:rsidRPr="002366E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2366E9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2366E9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2366E9" w:rsidRPr="002366E9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2366E9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Pr="002366E9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2366E9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:rsidRPr="002366E9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2366E9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2366E9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Pr="002366E9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Pr="002366E9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Pr="002366E9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2366E9" w:rsidRPr="002366E9" w14:paraId="13BF1381" w14:textId="77777777" w:rsidTr="0128E1E0">
        <w:tc>
          <w:tcPr>
            <w:tcW w:w="9736" w:type="dxa"/>
            <w:gridSpan w:val="2"/>
          </w:tcPr>
          <w:p w14:paraId="1897D47A" w14:textId="4577D92A" w:rsidR="00A251A8" w:rsidRPr="002366E9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2366E9" w:rsidRPr="002366E9" w14:paraId="3949FFEA" w14:textId="77777777" w:rsidTr="0128E1E0">
        <w:tc>
          <w:tcPr>
            <w:tcW w:w="2405" w:type="dxa"/>
          </w:tcPr>
          <w:p w14:paraId="245C04C5" w14:textId="44BD53E3" w:rsidR="00A251A8" w:rsidRPr="002366E9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7B3E6D4" w:rsidR="00A251A8" w:rsidRPr="002366E9" w:rsidRDefault="00F237E3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  <w:lang w:eastAsia="zh-TW"/>
              </w:rPr>
            </w:pPr>
            <w:r w:rsidRPr="002366E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  <w:lang w:eastAsia="zh-TW"/>
              </w:rPr>
              <w:t>館山自動車道　豊成高架橋耐震補強工事</w:t>
            </w:r>
          </w:p>
        </w:tc>
      </w:tr>
      <w:tr w:rsidR="00A251A8" w14:paraId="1EE395AF" w14:textId="77777777" w:rsidTr="0128E1E0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6F43B833" w:rsidR="00A251A8" w:rsidRPr="000B4ACC" w:rsidRDefault="00A251A8" w:rsidP="0128E1E0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128E1E0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217FC195" w:rsidRPr="0128E1E0">
              <w:rPr>
                <w:rFonts w:ascii="ＭＳ ゴシック" w:eastAsia="ＭＳ ゴシック" w:hAnsi="ＭＳ ゴシック"/>
                <w:noProof/>
              </w:rPr>
              <w:t>１</w:t>
            </w:r>
            <w:r w:rsidRPr="0128E1E0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128E1E0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133E2965" w:rsidR="00A251A8" w:rsidRPr="000B4ACC" w:rsidRDefault="000B4ACC" w:rsidP="0128E1E0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128E1E0">
              <w:rPr>
                <w:rFonts w:ascii="ＭＳ ゴシック" w:eastAsia="ＭＳ ゴシック" w:hAnsi="ＭＳ ゴシック"/>
              </w:rPr>
              <w:t xml:space="preserve">(ア) </w:t>
            </w:r>
            <w:r w:rsidR="56664E6D" w:rsidRPr="0128E1E0">
              <w:rPr>
                <w:rFonts w:ascii="ＭＳ ゴシック" w:eastAsia="ＭＳ ゴシック" w:hAnsi="ＭＳ ゴシック"/>
              </w:rPr>
              <w:t>館山自動車道　袖ヶ浦地区耐震補強検討業務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2366E9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あたり下記１～６について誓約します。なお、下記誓約事項に違反したと認められる場合に</w:t>
      </w:r>
      <w:r w:rsidR="00F22191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53BB1C30" w:rsidR="00834E01" w:rsidRPr="002366E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2366E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2366E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2366E9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39A17DA3" w:rsidR="00834E01" w:rsidRPr="002366E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Pr="002366E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を返却書１</w:t>
      </w:r>
      <w:r w:rsidR="00524607"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Pr="002366E9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Pr="002366E9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2366E9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2366E9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46CFA8B3" w:rsidR="00834E01" w:rsidRPr="002366E9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F237E3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土木</w:t>
      </w:r>
      <w:r w:rsidR="0062694F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工事」に係るNEXCO東日本の「</w:t>
      </w:r>
      <w:r w:rsidR="00996F48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E306B9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E306B9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 w:rsidRPr="002366E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2366E9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2366E9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EF3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6E9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7E3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128E1E0"/>
    <w:rsid w:val="0DE3ED0A"/>
    <w:rsid w:val="217FC195"/>
    <w:rsid w:val="5666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2024-10-09T02:29:00Z</dcterms:created>
  <dcterms:modified xsi:type="dcterms:W3CDTF">2024-10-09T02:29:00Z</dcterms:modified>
</cp:coreProperties>
</file>